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4103C" w14:textId="77777777" w:rsidR="003E2267" w:rsidRDefault="003E2267" w:rsidP="003E2267">
      <w:pPr>
        <w:rPr>
          <w:rFonts w:ascii="Calibri" w:eastAsia="Calibri" w:hAnsi="Calibri" w:cs="Times New Roman"/>
          <w:b/>
          <w:color w:val="0070C0"/>
          <w:u w:val="single"/>
        </w:rPr>
      </w:pPr>
      <w:r w:rsidRPr="00CD695E">
        <w:rPr>
          <w:b/>
          <w:bCs/>
        </w:rPr>
        <w:t>To:</w:t>
      </w:r>
      <w:r w:rsidRPr="00CD695E">
        <w:t xml:space="preserve"> Environment Agency</w:t>
      </w:r>
      <w:r w:rsidRPr="00CD695E">
        <w:br/>
      </w:r>
      <w:r w:rsidRPr="00CD695E">
        <w:rPr>
          <w:b/>
          <w:bCs/>
        </w:rPr>
        <w:t>Subject:</w:t>
      </w:r>
      <w:r w:rsidRPr="00CD695E">
        <w:t xml:space="preserve"> Objection to Permit Application for Hazardous Waste Incinerator by Fornax </w:t>
      </w:r>
      <w:r>
        <w:t xml:space="preserve">(North East) </w:t>
      </w:r>
      <w:r w:rsidRPr="00CD695E">
        <w:t>Ltd</w:t>
      </w:r>
      <w:r>
        <w:t>.</w:t>
      </w:r>
      <w:r w:rsidRPr="00CD695E">
        <w:t xml:space="preserve"> </w:t>
      </w:r>
      <w:r w:rsidRPr="00CD695E">
        <w:br/>
      </w:r>
      <w:r w:rsidRPr="00CD695E">
        <w:rPr>
          <w:b/>
          <w:bCs/>
        </w:rPr>
        <w:t>Permit Application Number</w:t>
      </w:r>
      <w:r>
        <w:rPr>
          <w:b/>
          <w:bCs/>
        </w:rPr>
        <w:t xml:space="preserve">: </w:t>
      </w:r>
      <w:r w:rsidRPr="008A2ED1">
        <w:rPr>
          <w:rFonts w:ascii="Calibri" w:eastAsia="Calibri" w:hAnsi="Calibri" w:cs="Times New Roman"/>
          <w:b/>
          <w:color w:val="0070C0"/>
          <w:u w:val="single"/>
        </w:rPr>
        <w:t xml:space="preserve">EPR/QP3720LP/A001 </w:t>
      </w:r>
    </w:p>
    <w:p w14:paraId="54984D19" w14:textId="77777777" w:rsidR="00CB02A9" w:rsidRDefault="00000000">
      <w:r w:rsidRPr="003E2267">
        <w:rPr>
          <w:b/>
          <w:bCs/>
        </w:rPr>
        <w:t>Subject:</w:t>
      </w:r>
      <w:r>
        <w:t xml:space="preserve"> Objection – Air Pollution, Legal Loopholes and Stack Risk at Fornax Incinerator</w:t>
      </w:r>
      <w:r>
        <w:br/>
      </w:r>
    </w:p>
    <w:p w14:paraId="71D2A1CE" w14:textId="77777777" w:rsidR="00CB02A9" w:rsidRDefault="00000000">
      <w:r>
        <w:t>Dear Environment Agency,</w:t>
      </w:r>
    </w:p>
    <w:p w14:paraId="389640FD" w14:textId="77777777" w:rsidR="00CB02A9" w:rsidRDefault="00000000">
      <w:r>
        <w:t>I strongly object to the environmental permit application submitted by Fornax (North East) Ltd for a hazardous waste incinerator in Newton Aycliffe. The application includes multiple regulatory, legal and environmental failings that render the proposal unsafe and unlawful.</w:t>
      </w:r>
    </w:p>
    <w:p w14:paraId="77480C23" w14:textId="77777777" w:rsidR="00CB02A9" w:rsidRDefault="00000000">
      <w:r>
        <w:t>1. Cumulative Pollution Ignored (Objection 2)</w:t>
      </w:r>
      <w:r>
        <w:br/>
        <w:t>Fornax has relied entirely on smoothed national pollution data over a 1km² grid to estimate background air quality. This method is wholly inappropriate for a densely industrialised zone like Aycliffe Business Park. Within 2 km are major emitters including INEOS, Emerald Biogas, Gestamp Tallent, S&amp;A Gonvarri, and the A1(M)—all contributing NO₂, PM₂.₅, PM₁₀, ammonia and volatile organic compounds. None of these were included in the dispersion model. The EA’s own guidance demands site-specific monitoring and cumulative modelling in such areas.</w:t>
      </w:r>
    </w:p>
    <w:p w14:paraId="22069FF1" w14:textId="77777777" w:rsidR="00CB02A9" w:rsidRDefault="00000000">
      <w:r>
        <w:t>2. Stack Height Inadequate and Unjustified (Objection 4)</w:t>
      </w:r>
      <w:r>
        <w:br/>
        <w:t>The 30 m stack height has not been justified using standard modelling. No dispersion simulations (e.g., “knee plots”) were submitted to show how stack height changes affect ground-level concentrations. Nearby multi-storey buildings and warehouses may cause downwash, forcing pollutants like NO₂ and PM back to ground level, especially during calm weather or inversion events. A short stack increases public exposure and invalidates the modelling assumptions that rely on proper vertical dispersal.</w:t>
      </w:r>
    </w:p>
    <w:p w14:paraId="73329286" w14:textId="77777777" w:rsidR="00CB02A9" w:rsidRDefault="00000000">
      <w:r>
        <w:t>3. Waste Types Breach Planning Consent (Objection 11)</w:t>
      </w:r>
      <w:r>
        <w:br/>
        <w:t>The site’s planning consent (Ref: DM/21/01500/WAS) includes Condition 23, which clearly states that only clinical and hazardous waste may be accepted—municipal, industrial, or commercial waste is prohibited. Yet the permit application lists a broad range of waste codes that appear to go beyond this limit, including municipal-like categories and battery/electrical waste streams. This directly contradicts the planning approval and creates legal conflict between regulatory frameworks.</w:t>
      </w:r>
    </w:p>
    <w:p w14:paraId="762C24CC" w14:textId="77777777" w:rsidR="00CB02A9" w:rsidRDefault="00000000">
      <w:r>
        <w:t>4. Capacity Loophole Undermines Emission Limits (Objection 9)</w:t>
      </w:r>
      <w:r>
        <w:br/>
        <w:t>Fornax is applying for a throughput of 3 tonnes/hour yet has based all of its modelling—including emissions, traffic, odour and risk assessments—on a much lower operating assumption of 1.2 tonnes/hour. This discrepancy means the facility could legally burn more than double the assessed volume without notifying the public or updating any safety calculations. Higher throughput = higher emissions.</w:t>
      </w:r>
    </w:p>
    <w:p w14:paraId="779C7673" w14:textId="77777777" w:rsidR="003E2267" w:rsidRDefault="003E2267"/>
    <w:p w14:paraId="168CABB6" w14:textId="0A4797F0" w:rsidR="00CB02A9" w:rsidRDefault="00000000">
      <w:r>
        <w:lastRenderedPageBreak/>
        <w:t>5. BAT Failures in Pollution Control and Waste Handling (Objection 6)</w:t>
      </w:r>
      <w:r>
        <w:br/>
        <w:t>Fornax’s technical documentation fails to meet Best Available Techniques (BAT) for waste handling and pollution abatement. Examples include:</w:t>
      </w:r>
      <w:r>
        <w:br/>
        <w:t>- No specification of abatement systems for NOx, dioxins, or acid gases.</w:t>
      </w:r>
      <w:r>
        <w:br/>
        <w:t>- Inconsistent combustion temperature claims (850°C and 1100°C).</w:t>
      </w:r>
      <w:r>
        <w:br/>
        <w:t>- Vague or missing plans for hazardous fly ash.</w:t>
      </w:r>
      <w:r>
        <w:br/>
        <w:t>- No method for classifying Persistent Organic Pollutants (POPs).</w:t>
      </w:r>
      <w:r>
        <w:br/>
        <w:t>- Contradictions on whether liquid waste will be produced and how it will be handled.</w:t>
      </w:r>
    </w:p>
    <w:p w14:paraId="2DA41380" w14:textId="77777777" w:rsidR="00CB02A9" w:rsidRDefault="00000000">
      <w:r>
        <w:t>Conclusion &amp; Request</w:t>
      </w:r>
      <w:r>
        <w:br/>
        <w:t>This application combines flawed science, planning contradictions, and a deliberately vague emissions strategy made possible by a short stack and a capacity loophole. Newton Aycliffe’s health, air quality, and environmental integrity are at stake. I urge the Environment Agency to reject this permit application in full.</w:t>
      </w:r>
    </w:p>
    <w:p w14:paraId="0A8CD9B0" w14:textId="77777777" w:rsidR="00CB02A9" w:rsidRDefault="00000000">
      <w:r>
        <w:t>Yours sincerely,</w:t>
      </w:r>
      <w:r>
        <w:br/>
        <w:t>[Name]</w:t>
      </w:r>
      <w:r>
        <w:br/>
        <w:t>[Address/Postcode]</w:t>
      </w:r>
      <w:r>
        <w:br/>
        <w:t>[Date]</w:t>
      </w:r>
    </w:p>
    <w:sectPr w:rsidR="00CB02A9" w:rsidSect="003E2267">
      <w:pgSz w:w="12240" w:h="15840"/>
      <w:pgMar w:top="1135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7483523">
    <w:abstractNumId w:val="8"/>
  </w:num>
  <w:num w:numId="2" w16cid:durableId="287705013">
    <w:abstractNumId w:val="6"/>
  </w:num>
  <w:num w:numId="3" w16cid:durableId="860123741">
    <w:abstractNumId w:val="5"/>
  </w:num>
  <w:num w:numId="4" w16cid:durableId="1048186031">
    <w:abstractNumId w:val="4"/>
  </w:num>
  <w:num w:numId="5" w16cid:durableId="828641789">
    <w:abstractNumId w:val="7"/>
  </w:num>
  <w:num w:numId="6" w16cid:durableId="1963993188">
    <w:abstractNumId w:val="3"/>
  </w:num>
  <w:num w:numId="7" w16cid:durableId="1902209095">
    <w:abstractNumId w:val="2"/>
  </w:num>
  <w:num w:numId="8" w16cid:durableId="338772595">
    <w:abstractNumId w:val="1"/>
  </w:num>
  <w:num w:numId="9" w16cid:durableId="35704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E2267"/>
    <w:rsid w:val="004B375D"/>
    <w:rsid w:val="00AA1D8D"/>
    <w:rsid w:val="00B47730"/>
    <w:rsid w:val="00CB02A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7C9429"/>
  <w14:defaultImageDpi w14:val="300"/>
  <w15:docId w15:val="{B1F156A9-F28E-420A-ACEC-6DB4300B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gavin wilson</cp:lastModifiedBy>
  <cp:revision>2</cp:revision>
  <dcterms:created xsi:type="dcterms:W3CDTF">2013-12-23T23:15:00Z</dcterms:created>
  <dcterms:modified xsi:type="dcterms:W3CDTF">2025-07-10T07:23:00Z</dcterms:modified>
  <cp:category/>
</cp:coreProperties>
</file>